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КРАСНОЗЕРСКИЙ РАЙОН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СВЕТЛОВСКИЙ СЕЛЬСОВЕТ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СОЦИАЛЬНО  -  ЭКОНОМИЧЕСКОГО РАЗВИТИЯ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СВЕТЛОВСКОГО  СЕЛЬСОВЕТА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НА 2014 ГОД И ПЛАНОВЫЙ ПЕРИОД 2015</w:t>
      </w:r>
      <w:proofErr w:type="gramStart"/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ГОДОВ.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ветлое, 2014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lastRenderedPageBreak/>
        <w:t>1. Цели и задачи социально-экономического развития   Светловского сельсовета Краснозерского района  в среднесрочной перспективе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На основе итогов социально-экономического развития муниципального </w:t>
      </w:r>
      <w:r w:rsidRPr="00E15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образования за период</w:t>
      </w:r>
      <w:r>
        <w:rPr>
          <w:rFonts w:ascii="Times New Roman" w:hAnsi="Times New Roman" w:cs="Times New Roman"/>
          <w:sz w:val="28"/>
          <w:szCs w:val="28"/>
        </w:rPr>
        <w:t xml:space="preserve"> 2012-2013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годов,  перед муниципальным образованием Светловского сельсовета в среднесрочной перспективе стоят следующие цели и 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обеспечения законности и правопорядка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Цель – повышение уровня безопасности населения, усиление законных прав и интересов граждан, обеспечение правопорядка на территории Светловского сельсовета.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проведение целевых мероприятий в соответствии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в границах поселения.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информации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- организация планомерной и системной работы с населением села посредством периодического печатного издания «Бюллетень органов местного самоуправления Светловского сельсовета».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i/>
          <w:sz w:val="28"/>
          <w:szCs w:val="28"/>
        </w:rPr>
        <w:t>В области  демографии, уровня жизни.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Цели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Стабилизация демографической ситуации, поддержка материнства и детства, формирование предпосылок к последующему демографическому росту.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Повышение уровня рождаемости, развитие и укрепление семьи.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Оптимизация миграционных процессов.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Обеспечение роста реальных денежных доходов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здравоохранения: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1. Усиление 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оказания медицинских услуг.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образования: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Сохранение сети общеобразовательных учреждений и детских дошкольных учреждений.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Воспитание патриотизма, гражданственности, повышение нравственности  подрастающего поколения.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3. Развитие семейных форм устройства детей-сирот и детей, оставшихся без попечения родителей;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E15F2E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культуры: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>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Повышение интеллектуального и нравственного уровня молодежи.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Развитие системы библиотечного обслуживания населения.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5. Сохранение  и развитие народной культуры и самодеятельного творчества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физической культуры и спорта: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населения, создание оптимальных условий для развития массовой физической культуры и спорта.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Укрепление и развитие физкультурно-оздоровительных объектов, оснащение их инвентарем и оборудованием;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Участие в районных и областных спортивных мероприятиях.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муниципальных финансов: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Обеспечение роста собственных доходов бюджета поселения.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Повышение эффективности расходования бюджетных средств.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Создание условий для повышения налогового потенциала территории.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5. Совершенствование среднесрочного планирования.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управления и использования муниципального имущества и земель: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работы по 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изменением собственников жилья, выявление потенциальных бесхозяйных объектов.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В сельском хозяйстве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Реализация  Программы «Развития сельскохозяйственного производства в личных подсобных хозяйствах  муниципального образования Светловского сельсовета Краснозерского района Новосибирской области на период 2009-2015 годы» в том числе: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консультативной помощи в вопросах кредитования личных подсобных и крестьянских (фермерских) хозяйств;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закупок по личным подсобным хозяйствам.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малом предпринимательстве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Цель: С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Оказание поддержки развитию субъектов малого предпринимательства;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Оказание содействия развитию системы кредитования малого бизнеса;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Продвижение продукции малых предприятий на новые рынки, путем участия их в выставках и ярмарках, «Днях предпринимателя»;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дорожного хозяйства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Повышение доступности транспортных услуг.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Содержание автомобильных дорог  внутри поселения. Поддержание в рабочем состоянии дорожной сети.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2. Продолжить  отсыпку шлаком уличной дорожной сети в селе 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Светлое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потребительского рынка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Удовлетворение покупательского спроса населения в качественных товарах и услугах.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E15F2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Развитие стационарной торговли за счет открытия новых магазинов, павильонов в селах.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Возрождение бытового обслуживания в селе, улучшение качества предоставляемых услуг.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В области благоустройства и озеленения территории, охраны окружающей среды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условий проживания жителям Светловского сельсовета Краснозерского района.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5F2E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E15F2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1. Благоустройство и озеленение территории поселения.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2. Проведение ремонта систем уличного освещения.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3. Содержание мест захоронения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4. Устранение несанкционированных свалок.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целей социально-экономического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программных мероприятий (приложение 1).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bCs/>
          <w:sz w:val="28"/>
          <w:szCs w:val="28"/>
        </w:rPr>
        <w:t>Инвестиции в социально-экономическом развитии муниципального образования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При этом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 xml:space="preserve"> анализ возможности самофинансирования инвестиционной деятельности предприятий поселения показал, что собственный инвестиционный потенциал, при условии полной мобилизации, недостаточен даже для поддержания производственных мощностей. Для восстановления и развития производственного потенциала необходимо привлечение внешних ресурсов и их следует направлять на восстановление и укрепление агропромышленного комплекса, составляющего основу стабилизации и экономического роста экономики, а также на осуществление мер по развитию социальной и инженерно-транспортной инфраструктуры.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планами социально-экономического развития области, областными  и муниципальными целевыми программами (если есть) с ежегодным уточнением объемов финансирования исходя из реальных возможностей бюджетов. Основным источником сре</w:t>
      </w:r>
      <w:proofErr w:type="gramStart"/>
      <w:r w:rsidRPr="00E15F2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15F2E">
        <w:rPr>
          <w:rFonts w:ascii="Times New Roman" w:eastAsia="Times New Roman" w:hAnsi="Times New Roman" w:cs="Times New Roman"/>
          <w:sz w:val="28"/>
          <w:szCs w:val="28"/>
        </w:rPr>
        <w:t>я осуществления инвестиционных проектов станут собственные и заемные средства предприятий и организаций.</w:t>
      </w:r>
    </w:p>
    <w:p w:rsidR="00E15F2E" w:rsidRPr="00E15F2E" w:rsidRDefault="00E15F2E" w:rsidP="00E15F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E">
        <w:rPr>
          <w:rFonts w:ascii="Times New Roman" w:eastAsia="Times New Roman" w:hAnsi="Times New Roman" w:cs="Times New Roman"/>
          <w:sz w:val="28"/>
          <w:szCs w:val="28"/>
        </w:rPr>
        <w:t>Число инвестиционных проектов и социальных мероприятий в процессе реализации Плана может увеличиваться и уточняться при составлении планов социально-экономического развития поселения  на соответствующий год.</w:t>
      </w:r>
    </w:p>
    <w:p w:rsidR="00E15F2E" w:rsidRDefault="00E15F2E" w:rsidP="00E15F2E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</w:rPr>
      </w:pPr>
    </w:p>
    <w:p w:rsidR="00E15F2E" w:rsidRDefault="00E15F2E" w:rsidP="00E15F2E">
      <w:pPr>
        <w:ind w:firstLine="708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</w:t>
      </w:r>
    </w:p>
    <w:p w:rsidR="00E15F2E" w:rsidRDefault="00E15F2E" w:rsidP="00E15F2E">
      <w:pPr>
        <w:ind w:firstLine="708"/>
        <w:jc w:val="both"/>
        <w:rPr>
          <w:rFonts w:ascii="Calibri" w:eastAsia="Times New Roman" w:hAnsi="Calibri" w:cs="Times New Roman"/>
          <w:sz w:val="24"/>
        </w:rPr>
      </w:pPr>
    </w:p>
    <w:p w:rsidR="00E15F2E" w:rsidRDefault="00E15F2E" w:rsidP="00E15F2E">
      <w:pPr>
        <w:ind w:firstLine="708"/>
        <w:jc w:val="both"/>
        <w:rPr>
          <w:rFonts w:ascii="Calibri" w:eastAsia="Times New Roman" w:hAnsi="Calibri" w:cs="Times New Roman"/>
          <w:sz w:val="24"/>
        </w:rPr>
      </w:pPr>
    </w:p>
    <w:p w:rsidR="00E15F2E" w:rsidRDefault="00E15F2E" w:rsidP="00E15F2E">
      <w:pPr>
        <w:ind w:firstLine="708"/>
        <w:jc w:val="both"/>
        <w:rPr>
          <w:rFonts w:ascii="Calibri" w:eastAsia="Times New Roman" w:hAnsi="Calibri" w:cs="Times New Roman"/>
          <w:sz w:val="24"/>
        </w:rPr>
      </w:pPr>
    </w:p>
    <w:p w:rsidR="00E15F2E" w:rsidRDefault="00E15F2E" w:rsidP="00E15F2E">
      <w:pPr>
        <w:ind w:firstLine="708"/>
        <w:jc w:val="both"/>
        <w:rPr>
          <w:rFonts w:ascii="Calibri" w:eastAsia="Times New Roman" w:hAnsi="Calibri" w:cs="Times New Roman"/>
          <w:b/>
          <w:sz w:val="24"/>
        </w:rPr>
      </w:pPr>
    </w:p>
    <w:p w:rsidR="00322791" w:rsidRDefault="00E15F2E" w:rsidP="00322791">
      <w:pPr>
        <w:tabs>
          <w:tab w:val="left" w:pos="6804"/>
          <w:tab w:val="left" w:pos="7938"/>
        </w:tabs>
        <w:sectPr w:rsidR="00322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</w:t>
      </w:r>
    </w:p>
    <w:p w:rsidR="00322791" w:rsidRPr="00322791" w:rsidRDefault="00322791" w:rsidP="00322791">
      <w:pPr>
        <w:pStyle w:val="a5"/>
        <w:rPr>
          <w:rFonts w:ascii="Times New Roman" w:hAnsi="Times New Roman" w:cs="Times New Roman"/>
          <w:sz w:val="24"/>
          <w:szCs w:val="24"/>
        </w:rPr>
      </w:pPr>
      <w:r w:rsidRPr="00322791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мероприятия реализации среднесрочного плана социально-экономического развития муниципального образования   </w:t>
      </w:r>
      <w:r>
        <w:rPr>
          <w:rFonts w:ascii="Times New Roman" w:hAnsi="Times New Roman" w:cs="Times New Roman"/>
          <w:sz w:val="24"/>
          <w:szCs w:val="24"/>
        </w:rPr>
        <w:t>Светловского  сельсовета на 2015-2017</w:t>
      </w:r>
      <w:r w:rsidRPr="00322791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7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2"/>
        <w:gridCol w:w="56"/>
        <w:gridCol w:w="104"/>
        <w:gridCol w:w="4426"/>
        <w:gridCol w:w="990"/>
        <w:gridCol w:w="990"/>
        <w:gridCol w:w="990"/>
        <w:gridCol w:w="990"/>
        <w:gridCol w:w="990"/>
        <w:gridCol w:w="990"/>
        <w:gridCol w:w="992"/>
        <w:gridCol w:w="1570"/>
        <w:gridCol w:w="990"/>
        <w:gridCol w:w="990"/>
      </w:tblGrid>
      <w:tr w:rsidR="00322791" w:rsidRPr="00322791" w:rsidTr="00322791">
        <w:trPr>
          <w:gridAfter w:val="2"/>
          <w:wAfter w:w="1980" w:type="dxa"/>
          <w:trHeight w:val="659"/>
          <w:tblHeader/>
        </w:trPr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322791" w:rsidRPr="00322791" w:rsidTr="00322791">
        <w:trPr>
          <w:gridAfter w:val="2"/>
          <w:wAfter w:w="1980" w:type="dxa"/>
          <w:trHeight w:val="333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332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Прочие (собственные средства предприятий, кредитные ресурсы банков и </w:t>
            </w:r>
            <w:proofErr w:type="spellStart"/>
            <w:proofErr w:type="gramStart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145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Совершенствование развития транспортной системы и связи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145"/>
        </w:trPr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дорог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Грейдеровка</w:t>
            </w:r>
            <w:proofErr w:type="spellEnd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326,10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Светловского сельсовета</w:t>
            </w:r>
          </w:p>
        </w:tc>
      </w:tr>
      <w:tr w:rsidR="00322791" w:rsidRPr="00322791" w:rsidTr="00322791">
        <w:trPr>
          <w:gridAfter w:val="2"/>
          <w:wAfter w:w="1980" w:type="dxa"/>
          <w:trHeight w:val="14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14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262,20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145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i/>
                <w:sz w:val="24"/>
                <w:szCs w:val="24"/>
              </w:rPr>
              <w:t>Природопользование, охрана окружающей среды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145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землеустройству и землепользованию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землеустройству и землепользованию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Светловского сельсовета</w:t>
            </w:r>
          </w:p>
        </w:tc>
      </w:tr>
      <w:tr w:rsidR="00322791" w:rsidRPr="00322791" w:rsidTr="00322791">
        <w:trPr>
          <w:trHeight w:val="70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i/>
                <w:sz w:val="24"/>
                <w:szCs w:val="24"/>
              </w:rPr>
              <w:t>. Труд и занятость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322791" w:rsidRPr="00322791" w:rsidTr="00322791">
        <w:trPr>
          <w:gridAfter w:val="2"/>
          <w:wAfter w:w="1980" w:type="dxa"/>
          <w:trHeight w:val="136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развитии личных подсобных хозяйств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общественных работ 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несовершеннолетних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11" w:rsidRDefault="00D7281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22791" w:rsidRPr="00D72811" w:rsidRDefault="00322791" w:rsidP="00D72811">
            <w:pPr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Светловского сельсовета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«Светловская СОШ»</w:t>
            </w: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Молодежная политика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91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Создание условий социального становления молодежи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Физическая культура и спорт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1415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(традиционных волейбольных турниров, поездки на районные спортивные мероприятиям</w:t>
            </w:r>
            <w:proofErr w:type="gramStart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спортивного инвентаря, проведение Дня физкультурника)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820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Проведение  культурно-массовых мероприятий, конкурсов, смотров самодеятельного народного творчества (проводы зимы День Победы,    День пожилых людей, День матери)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Улучшение условий жизни населения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D7281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  <w:p w:rsidR="00322791" w:rsidRPr="00322791" w:rsidRDefault="00D7281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102,60</w:t>
            </w:r>
          </w:p>
          <w:p w:rsidR="00322791" w:rsidRPr="00322791" w:rsidRDefault="00D7281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глава  Светловского сельсовета</w:t>
            </w: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1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Социальная защита»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РФ и  муниципальных служащих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D7281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322791" w:rsidRPr="00322791" w:rsidRDefault="00D7281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728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302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2791" w:rsidRPr="00322791" w:rsidTr="00322791">
        <w:trPr>
          <w:gridAfter w:val="2"/>
          <w:wAfter w:w="1980" w:type="dxa"/>
          <w:trHeight w:val="765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предупреждению и ликвидаций последствий чрезвычайных ситуаций и стихийных бедствий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7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91" w:rsidRPr="00322791" w:rsidRDefault="00D72811" w:rsidP="0032279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322791" w:rsidRPr="00322791" w:rsidRDefault="00D7281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322791" w:rsidRPr="00322791" w:rsidRDefault="00D7281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91" w:rsidRPr="00322791" w:rsidRDefault="00322791" w:rsidP="003227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5F2E" w:rsidRDefault="00E15F2E" w:rsidP="00322791">
      <w:pPr>
        <w:pStyle w:val="a5"/>
        <w:sectPr w:rsidR="00E15F2E" w:rsidSect="0032279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t xml:space="preserve">       </w:t>
      </w:r>
    </w:p>
    <w:p w:rsidR="00322791" w:rsidRDefault="00322791" w:rsidP="00322791">
      <w:pPr>
        <w:pStyle w:val="Title"/>
        <w:jc w:val="left"/>
        <w:rPr>
          <w:u w:val="single"/>
        </w:rPr>
      </w:pPr>
      <w:r>
        <w:rPr>
          <w:rFonts w:eastAsia="Arial"/>
        </w:rPr>
        <w:lastRenderedPageBreak/>
        <w:t xml:space="preserve">                                              </w:t>
      </w:r>
      <w:r>
        <w:t>Основные показатели социально-экономического развития на 2014-2016 год</w:t>
      </w:r>
    </w:p>
    <w:p w:rsidR="00322791" w:rsidRDefault="00322791" w:rsidP="00322791">
      <w:pPr>
        <w:pStyle w:val="Title"/>
        <w:rPr>
          <w:u w:val="single"/>
        </w:rPr>
      </w:pPr>
      <w:proofErr w:type="spellStart"/>
      <w:r>
        <w:rPr>
          <w:u w:val="single"/>
        </w:rPr>
        <w:t>_Светловского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сельсовета__Краснозерского</w:t>
      </w:r>
      <w:proofErr w:type="spellEnd"/>
      <w:r>
        <w:rPr>
          <w:u w:val="single"/>
        </w:rPr>
        <w:t xml:space="preserve"> района</w:t>
      </w:r>
    </w:p>
    <w:p w:rsidR="00322791" w:rsidRDefault="00322791" w:rsidP="00322791">
      <w:pPr>
        <w:pStyle w:val="LO-Normal"/>
        <w:rPr>
          <w:sz w:val="26"/>
        </w:rPr>
      </w:pPr>
      <w:r>
        <w:rPr>
          <w:u w:val="single"/>
        </w:rPr>
        <w:t xml:space="preserve"> </w:t>
      </w:r>
    </w:p>
    <w:p w:rsidR="00322791" w:rsidRDefault="00322791" w:rsidP="00322791">
      <w:pPr>
        <w:pStyle w:val="LO-Normal"/>
        <w:jc w:val="center"/>
        <w:rPr>
          <w:sz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50"/>
      </w:tblGrid>
      <w:tr w:rsidR="00322791" w:rsidTr="00EE33AB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22791" w:rsidRDefault="00322791" w:rsidP="00EE33AB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2012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jc w:val="center"/>
            </w:pPr>
            <w:r>
              <w:rPr>
                <w:sz w:val="24"/>
              </w:rPr>
              <w:t>2016 г.</w:t>
            </w:r>
          </w:p>
        </w:tc>
      </w:tr>
      <w:tr w:rsidR="00322791" w:rsidTr="00EE33AB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507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96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500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99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 xml:space="preserve"> 100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98,3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98,3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98,3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98,3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r>
              <w:t>Х</w:t>
            </w:r>
          </w:p>
        </w:tc>
      </w:tr>
      <w:tr w:rsidR="00322791" w:rsidTr="00EE33AB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r>
              <w:t>Х</w:t>
            </w:r>
          </w:p>
        </w:tc>
      </w:tr>
      <w:tr w:rsidR="00322791" w:rsidTr="00EE33AB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0</w:t>
            </w:r>
          </w:p>
        </w:tc>
      </w:tr>
      <w:tr w:rsidR="00322791" w:rsidTr="00EE33AB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322791" w:rsidTr="00EE33AB">
        <w:trPr>
          <w:cantSplit/>
          <w:trHeight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Тыс.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23000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heading2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22791" w:rsidTr="00EE33AB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353,8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Тыс.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4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Тыс.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53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 xml:space="preserve"> 100 </w:t>
            </w:r>
          </w:p>
        </w:tc>
      </w:tr>
      <w:tr w:rsidR="00322791" w:rsidTr="00EE33AB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  <w:trHeight w:val="4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Тыс.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 22000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110</w:t>
            </w:r>
          </w:p>
        </w:tc>
      </w:tr>
      <w:tr w:rsidR="00322791" w:rsidTr="00EE33AB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Тыс.</w:t>
            </w: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322791" w:rsidTr="00EE33AB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-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101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9879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10051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snapToGrid w:val="0"/>
              <w:rPr>
                <w:sz w:val="24"/>
              </w:rPr>
            </w:pPr>
          </w:p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803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100,7</w:t>
            </w:r>
          </w:p>
        </w:tc>
      </w:tr>
      <w:tr w:rsidR="00322791" w:rsidTr="00EE33AB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49,1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91" w:rsidRDefault="00322791" w:rsidP="00EE33AB">
            <w:pPr>
              <w:pStyle w:val="LO-Normal"/>
            </w:pPr>
            <w:r>
              <w:rPr>
                <w:sz w:val="24"/>
              </w:rPr>
              <w:t>100</w:t>
            </w:r>
          </w:p>
        </w:tc>
      </w:tr>
    </w:tbl>
    <w:p w:rsidR="00322791" w:rsidRDefault="00322791" w:rsidP="00322791">
      <w:pPr>
        <w:pStyle w:val="BodyText3"/>
        <w:rPr>
          <w:color w:val="auto"/>
          <w:sz w:val="26"/>
        </w:rPr>
      </w:pPr>
    </w:p>
    <w:p w:rsidR="00322791" w:rsidRDefault="00322791" w:rsidP="00322791">
      <w:pPr>
        <w:pStyle w:val="BodyText3"/>
        <w:rPr>
          <w:color w:val="auto"/>
          <w:sz w:val="26"/>
        </w:rPr>
      </w:pPr>
    </w:p>
    <w:p w:rsidR="00322791" w:rsidRDefault="00322791" w:rsidP="00322791">
      <w:pPr>
        <w:pStyle w:val="BodyText3"/>
        <w:rPr>
          <w:color w:val="auto"/>
          <w:sz w:val="26"/>
        </w:rPr>
      </w:pPr>
    </w:p>
    <w:p w:rsidR="00322791" w:rsidRDefault="00322791" w:rsidP="00322791">
      <w:pPr>
        <w:tabs>
          <w:tab w:val="left" w:pos="1209"/>
        </w:tabs>
      </w:pPr>
    </w:p>
    <w:p w:rsidR="00322791" w:rsidRDefault="00322791" w:rsidP="00322791"/>
    <w:p w:rsidR="00322791" w:rsidRDefault="00322791" w:rsidP="00322791"/>
    <w:p w:rsidR="0008408B" w:rsidRDefault="0008408B" w:rsidP="00322791">
      <w:pPr>
        <w:pStyle w:val="10"/>
        <w:jc w:val="left"/>
      </w:pPr>
    </w:p>
    <w:sectPr w:rsidR="0008408B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26B0D"/>
    <w:multiLevelType w:val="hybridMultilevel"/>
    <w:tmpl w:val="B19C30A4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F2E"/>
    <w:rsid w:val="0008408B"/>
    <w:rsid w:val="00322791"/>
    <w:rsid w:val="00377734"/>
    <w:rsid w:val="00D72811"/>
    <w:rsid w:val="00E1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E15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E15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15F2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E15F2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15F2E"/>
    <w:rPr>
      <w:rFonts w:ascii="Times New Roman" w:eastAsia="Times New Roman" w:hAnsi="Times New Roman" w:cs="Times New Roman"/>
      <w:sz w:val="28"/>
      <w:szCs w:val="20"/>
    </w:rPr>
  </w:style>
  <w:style w:type="paragraph" w:customStyle="1" w:styleId="xl46">
    <w:name w:val="xl46"/>
    <w:basedOn w:val="a"/>
    <w:rsid w:val="00E15F2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E15F2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15F2E"/>
    <w:pPr>
      <w:spacing w:after="0" w:line="240" w:lineRule="auto"/>
    </w:pPr>
  </w:style>
  <w:style w:type="paragraph" w:customStyle="1" w:styleId="10">
    <w:name w:val="Название1"/>
    <w:rsid w:val="00E15F2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1">
    <w:name w:val="Обычный1"/>
    <w:rsid w:val="00E15F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11"/>
    <w:rsid w:val="00E15F2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1"/>
    <w:next w:val="11"/>
    <w:rsid w:val="00E15F2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6">
    <w:name w:val="Содержимое таблицы"/>
    <w:basedOn w:val="a"/>
    <w:rsid w:val="003227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"/>
    <w:rsid w:val="00322791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LO-Normal">
    <w:name w:val="LO-Normal"/>
    <w:rsid w:val="003227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3">
    <w:name w:val="Body Text 3"/>
    <w:basedOn w:val="LO-Normal"/>
    <w:rsid w:val="00322791"/>
    <w:pPr>
      <w:widowControl/>
    </w:pPr>
    <w:rPr>
      <w:rFonts w:ascii="Arial" w:hAnsi="Arial" w:cs="Arial"/>
      <w:color w:val="FF0000"/>
      <w:sz w:val="28"/>
    </w:rPr>
  </w:style>
  <w:style w:type="paragraph" w:customStyle="1" w:styleId="heading2">
    <w:name w:val="heading 2"/>
    <w:basedOn w:val="LO-Normal"/>
    <w:next w:val="LO-Normal"/>
    <w:rsid w:val="00322791"/>
    <w:pPr>
      <w:keepNext/>
      <w:widowControl/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cp:lastPrinted>2014-11-28T07:43:00Z</cp:lastPrinted>
  <dcterms:created xsi:type="dcterms:W3CDTF">2014-11-28T07:37:00Z</dcterms:created>
  <dcterms:modified xsi:type="dcterms:W3CDTF">2014-12-02T09:19:00Z</dcterms:modified>
</cp:coreProperties>
</file>