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7F" w:rsidRDefault="0031607F">
      <w:bookmarkStart w:id="0" w:name="_GoBack"/>
      <w:bookmarkEnd w:id="0"/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НОВОСИБИРСКАЯ ОБЛАСТЬ</w:t>
      </w: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КРАСНОЗЕРСКИЙ РАЙОН</w:t>
      </w: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СВЕТЛОВСКИЙ СЕЛЬСОВЕТ</w:t>
      </w: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31607F" w:rsidRDefault="006B7B7A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ПРОГРАММА </w:t>
      </w:r>
      <w:r w:rsidR="0031607F">
        <w:rPr>
          <w:rFonts w:ascii="Times New Roman" w:hAnsi="Times New Roman"/>
          <w:bCs/>
          <w:sz w:val="28"/>
          <w:szCs w:val="28"/>
        </w:rPr>
        <w:t>СОЦИАЛЬНО  -  ЭКОНОМИЧЕСКОГО РАЗВИТИЯ</w:t>
      </w: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СВЕТЛОВСКОГО  СЕЛЬСОВЕТА</w:t>
      </w:r>
    </w:p>
    <w:p w:rsidR="0031607F" w:rsidRDefault="00631860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2020 ГОД И ПЛАНОВЫЙ ПЕРИОД 2021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2022</w:t>
      </w:r>
      <w:r w:rsidR="0031607F"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631860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ветлое, 2019</w:t>
      </w: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31607F" w:rsidRDefault="0031607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Цели и задачи социально-экономического развития   Светловского сельсовета Краснозерского района  в среднесрочной перспективе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итогов социально-экономического развития муниципального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образования за период</w:t>
      </w:r>
      <w:r w:rsidR="00631860">
        <w:rPr>
          <w:rFonts w:ascii="Times New Roman" w:hAnsi="Times New Roman"/>
          <w:sz w:val="28"/>
          <w:szCs w:val="28"/>
        </w:rPr>
        <w:t xml:space="preserve"> 2017-2018</w:t>
      </w:r>
      <w:r>
        <w:rPr>
          <w:rFonts w:ascii="Times New Roman" w:hAnsi="Times New Roman"/>
          <w:sz w:val="28"/>
          <w:szCs w:val="28"/>
        </w:rPr>
        <w:t xml:space="preserve"> годов,  перед муниципальным образованием Светловского сельсовета в среднесрочной перспективе стоят следующие цели и 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обеспечения законности и правопорядка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– повышение уровня безопасности населения, усиление законных прав и интересов граждан, обеспечение правопорядка на территории Светловского сельсовета.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целевых мероприятий в соответствии с комплексными планами «Подросток» и «Семья» по предупреждению преступности среди несовершеннолетних, распространению наркомании и пьянства;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 по усилению охраны системы жизнеобеспечения поселения, по противодействию терроризму и экстремизму.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 гражданской обороне, защите населения и территорий поселения от чрезвычайных ситуаций природного и техногенного характера.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первичных мер пожарной безопасности в границах поселения.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информации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– информирование жителей села об общественно-политической жизни в селе, по подготовке и принятию управленческих решений, доведение до общественности социально-экономических последствий принятых решений и предпринятых действий;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планомерной и системной работы с населением села посредством периодического печатного издания «Бюллетень органов местного самоуправления Светловского сельсовета».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области  демографии, уровня жизни.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Цели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Стабилизация демографической ситуации, поддержка материнства и детства, формирование предпосылок к последующему демографическому росту.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рождаемости, развитие и укрепление семьи.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Оптимизация миграционных процессов.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роста реальных денежных доходов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 области здравоохранения: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Укрепление и сохранение здоровья населения, предупреждение преждевременной смертности и инвалидности за счет повышения доступности медицинских услуг, усиление профилактической направленности здравоохранения и повышение приоритета здоровья в системе общественных ценностей.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Усиление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организацией и качеством оказания медицинских услуг.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образования: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создание правовых, экономических и организационных условий для обеспечения гарантий прав населения на получение качественного образования, отвечающего потребностям личности, общества и государства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Сохранение сети общеобразовательных учреждений и детских дошкольных учреждений.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Воспитание патриотизма, гражданственности, повышение нравственности  подрастающего поколения.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Развитие семейных форм устройства детей-сирот и детей, оставшихся без попечения родителей;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4.Формирование эффективной системы профилактики безнадзорности, правонарушений, противодействия распространению алкоголизма, наркотических средств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среди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культуры: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Сохранение и развитие культурного потенциала села, создание оптимальных материальных и организационных условий для обеспечения населения услугами организаций культуры.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Повышение интеллектуального и нравственного уровня молодежи.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Развитие системы библиотечного обслуживания населения.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Сохранение и развитие системы дополнительного образования детей в сфере художественного и музыкального образования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и проведение массовых мероприятий в сфере культуры, участие в районных и  областных конкурсах.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Сохранение  и развитие народной культуры и самодеятельного творчества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физической культуры и спорта: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Формирование здорового образа жизни населения, создание оптимальных условий для развития массовой физической культуры и спорта.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Укрепление и развитие физкультурно-оздоровительных объектов, оснащение их инвентарем и оборудованием;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Формирование здорового образа жизни через увеличение объема обязательных занятий физической культурой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образовательных учреждений.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районных и областных спортивных мероприятиях.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муниципальных финансов: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роста собственных доходов бюджета поселения.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Повышение эффективности расходования бюджетных средств.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Создание условий для повышения налогового потенциала территории.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Разработка и осуществление комплекса мероприятий по увеличению собираемости налогов, поступающих в бюджет администрации.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Увеличение неналоговых доходов бюджета за счет повышения эффективности использования муниципального имущества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Проведение мероприятий по выявлению незарегистрированных объектов недвижимости, принадлежащих физическим лицам, содействие их регистрации и уплате налога на имущество физических лиц.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Совершенствование среднесрочного планирования.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управления и использования муниципального имущества и земель: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Повышение эффективности использования имущества и проведение мероприятий по определению и сохранению в составе муниципальной собственности имущества, необходимого для оказания социальных услуг, отнесенных к вопросам местного значения.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Проведение работы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изменением собственников жилья, выявление потенциальных бесхозяйных объектов.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Завершение процесса разграничения земель по уровням собственности и юридическое оформление права муниципальной собственности на земельные участки.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Активизация работы по сбору арендной платы, погашению образовавшейся задолженности за использование земель.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сельском хозяйстве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Содействие  развитию личных подсобных  и крестьянских (фермерских) хозяйств, как одного из источников поступления сырья и продовольствия на рынок и обеспечения занятости на селе.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консультативной помощи в вопросах кредитования личных подсобных и крестьянских (фермерских) хозяйств;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организация обеспечения личных подсобных и крестьянских (фермерских) хозяйств молодняком скота и птицы, семенным материалом, оказание зооветеринарных, агрономических и других видов услуг;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системы закупок по личным подсобным хозяйствам.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малом предпринимательстве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Цель: С</w:t>
      </w:r>
      <w:r>
        <w:rPr>
          <w:rFonts w:ascii="Times New Roman" w:hAnsi="Times New Roman"/>
          <w:sz w:val="28"/>
          <w:szCs w:val="28"/>
        </w:rPr>
        <w:t>оздание благоприятных условий для развития малого предпринимательства, увеличения на его основе налоговых доходов бюджета муниципального образования, повышение занятости.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поддержки развитию субъектов малого предпринимательства;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содействия развитию системы кредитования малого бизнеса;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Продвижение продукции малых предприятий на новые рынки, путем участия их в выставках и ярмарках, «Днях предпринимателя»;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дорожного хозяйства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Повышение доступности транспортных услуг.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Задачи: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Содержание автомобильных дорог  внутри поселения. Поддержание в рабочем состоянии дорожной сети.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Продолжить  отсыпку шлаком уличной дорожной сети в селе </w:t>
      </w:r>
      <w:proofErr w:type="gramStart"/>
      <w:r>
        <w:rPr>
          <w:rFonts w:ascii="Times New Roman" w:hAnsi="Times New Roman"/>
          <w:sz w:val="28"/>
          <w:szCs w:val="28"/>
        </w:rPr>
        <w:t>Светлое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потребительского рынка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 xml:space="preserve"> Удовлетворение покупательского спроса населения в качественных товарах и услугах.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Задачи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Развитие стационарной торговли за счет открытия новых магазинов, павильонов в селах.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Возрождение бытового обслуживания в селе, улучшение качества предоставляемых услуг.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области благоустройства и озеленения территории, охраны окружающей среды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 xml:space="preserve"> Создание комфортных условий проживания жителям Светловского сельсовета Краснозерского района.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Задачи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Благоустройство и озеленение территории поселения.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Проведение ремонта систем уличного освещения.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Содержание мест захоронения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Устранение несанкционированных свалок.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целей социально-экономического развития муниципального образования и решение поставленных задач в рамках полномочий органов </w:t>
      </w:r>
      <w:r>
        <w:rPr>
          <w:rFonts w:ascii="Times New Roman" w:hAnsi="Times New Roman"/>
          <w:sz w:val="28"/>
          <w:szCs w:val="28"/>
        </w:rPr>
        <w:lastRenderedPageBreak/>
        <w:t>местного самоуправления будет достигаться путем реализации программных мероприятий (приложение 1).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1607F" w:rsidRDefault="0031607F" w:rsidP="00D35403">
      <w:pPr>
        <w:pStyle w:val="af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Инвестиции в социально-экономическом развитии муниципального образования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инвестиционную ситуацию в муниципальном образовании нельзя назвать благополучной. Величина инвестиций не обеспечивает восполнение выбывающих и морально устаревших основных фондов. Основным источником инвестиций в основные  средства, по-прежнему, остаются собственные средства предприятий (прибыль, амортизационные отчисления). При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анализ возможности самофинансирования инвестиционной деятельности предприятий поселения показал, что собственный инвестиционный потенциал, при условии полной мобилизации, недостаточен даже для поддержания производственных мощностей. Для восстановления и развития производственного потенциала необходимо привлечение внешних ресурсов и их следует направлять на восстановление и укрепление агропромышленного комплекса, составляющего основу стабилизации и экономического роста экономики, а также на осуществление мер по развитию социальной и инженерно-транспортной инфраструктуры.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социально-экономических задач поселения в рамках среднесрочного плана будут реализовываться Мероприятия, включающие в себя инвестиционные проекты и социальные мероприятия. Сформированный блок мероприятий будет финансироваться из средств областного и муниципального бюджета, в соответствии с планами социально-экономического развития области, областными  и муниципальными целевыми программами (если есть) с ежегодным уточнением объемов финансирования исходя из реальных возможностей бюджетов. Основным источником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осуществления инвестиционных проектов станут собственные и заемные средства предприятий и организаций.</w:t>
      </w:r>
    </w:p>
    <w:p w:rsidR="0031607F" w:rsidRDefault="0031607F" w:rsidP="00D35403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инвестиционных проектов и социальных мероприятий в процессе реализации Плана может увеличиваться и уточняться при составлении планов социально-экономического развития поселения  на соответствующий год.</w:t>
      </w:r>
    </w:p>
    <w:p w:rsidR="0031607F" w:rsidRDefault="0031607F" w:rsidP="00D35403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eastAsia="Times New Roman"/>
          <w:sz w:val="24"/>
        </w:rPr>
      </w:pPr>
    </w:p>
    <w:p w:rsidR="0031607F" w:rsidRDefault="0031607F" w:rsidP="00D35403">
      <w:pPr>
        <w:ind w:firstLine="708"/>
        <w:jc w:val="both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 </w:t>
      </w:r>
    </w:p>
    <w:p w:rsidR="0031607F" w:rsidRDefault="0031607F" w:rsidP="00D35403">
      <w:pPr>
        <w:ind w:firstLine="708"/>
        <w:jc w:val="both"/>
        <w:rPr>
          <w:rFonts w:eastAsia="Times New Roman"/>
          <w:sz w:val="24"/>
        </w:rPr>
      </w:pPr>
    </w:p>
    <w:p w:rsidR="0031607F" w:rsidRDefault="0031607F" w:rsidP="00D35403">
      <w:pPr>
        <w:ind w:firstLine="708"/>
        <w:jc w:val="both"/>
        <w:rPr>
          <w:rFonts w:eastAsia="Times New Roman"/>
          <w:sz w:val="24"/>
        </w:rPr>
      </w:pPr>
    </w:p>
    <w:p w:rsidR="0031607F" w:rsidRDefault="0031607F" w:rsidP="00D35403">
      <w:pPr>
        <w:ind w:firstLine="708"/>
        <w:jc w:val="both"/>
        <w:rPr>
          <w:rFonts w:eastAsia="Times New Roman"/>
          <w:sz w:val="24"/>
        </w:rPr>
      </w:pPr>
    </w:p>
    <w:p w:rsidR="0031607F" w:rsidRDefault="0031607F" w:rsidP="00D35403">
      <w:pPr>
        <w:ind w:firstLine="708"/>
        <w:jc w:val="both"/>
        <w:rPr>
          <w:rFonts w:eastAsia="Times New Roman"/>
          <w:b/>
          <w:sz w:val="24"/>
        </w:rPr>
      </w:pPr>
    </w:p>
    <w:p w:rsidR="0031607F" w:rsidRDefault="0031607F" w:rsidP="00D35403">
      <w:pPr>
        <w:tabs>
          <w:tab w:val="left" w:pos="6804"/>
          <w:tab w:val="left" w:pos="7938"/>
        </w:tabs>
        <w:jc w:val="both"/>
        <w:sectPr w:rsidR="0031607F">
          <w:headerReference w:type="default" r:id="rId7"/>
          <w:pgSz w:w="11906" w:h="16838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r>
        <w:t xml:space="preserve">     </w:t>
      </w:r>
    </w:p>
    <w:p w:rsidR="0031607F" w:rsidRDefault="0031607F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Основные мероприятия реализации среднесрочного плана социально-экономического развития муниципального образования   </w:t>
      </w:r>
      <w:r w:rsidR="00D35403">
        <w:rPr>
          <w:rFonts w:ascii="Times New Roman" w:hAnsi="Times New Roman"/>
          <w:sz w:val="24"/>
          <w:szCs w:val="24"/>
        </w:rPr>
        <w:t>Светловского  сельсовета на 20</w:t>
      </w:r>
      <w:r w:rsidR="00984A58">
        <w:rPr>
          <w:rFonts w:ascii="Times New Roman" w:hAnsi="Times New Roman"/>
          <w:sz w:val="24"/>
          <w:szCs w:val="24"/>
        </w:rPr>
        <w:t>20</w:t>
      </w:r>
      <w:r w:rsidR="00D35403">
        <w:rPr>
          <w:rFonts w:ascii="Times New Roman" w:hAnsi="Times New Roman"/>
          <w:sz w:val="24"/>
          <w:szCs w:val="24"/>
        </w:rPr>
        <w:t>-20</w:t>
      </w:r>
      <w:r w:rsidR="00984A5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годы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2017"/>
        <w:gridCol w:w="47"/>
        <w:gridCol w:w="47"/>
        <w:gridCol w:w="2127"/>
        <w:gridCol w:w="1275"/>
        <w:gridCol w:w="736"/>
        <w:gridCol w:w="1414"/>
        <w:gridCol w:w="1144"/>
        <w:gridCol w:w="1723"/>
        <w:gridCol w:w="1143"/>
        <w:gridCol w:w="1433"/>
        <w:gridCol w:w="32"/>
        <w:gridCol w:w="1648"/>
      </w:tblGrid>
      <w:tr w:rsidR="0031607F" w:rsidTr="003102DB">
        <w:trPr>
          <w:cantSplit/>
          <w:trHeight w:val="659"/>
          <w:tblHeader/>
        </w:trPr>
        <w:tc>
          <w:tcPr>
            <w:tcW w:w="2063" w:type="dxa"/>
            <w:gridSpan w:val="2"/>
            <w:vMerge w:val="restart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</w:t>
            </w:r>
          </w:p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gridSpan w:val="2"/>
            <w:vMerge w:val="restart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1275" w:type="dxa"/>
            <w:vMerge w:val="restart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7625" w:type="dxa"/>
            <w:gridSpan w:val="7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финансирования, тыс. руб.</w:t>
            </w:r>
          </w:p>
        </w:tc>
        <w:tc>
          <w:tcPr>
            <w:tcW w:w="1648" w:type="dxa"/>
            <w:vMerge w:val="restart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Ответственные исполнители</w:t>
            </w:r>
          </w:p>
        </w:tc>
      </w:tr>
      <w:tr w:rsidR="0031607F" w:rsidTr="003102DB">
        <w:trPr>
          <w:cantSplit/>
          <w:trHeight w:val="333"/>
          <w:tblHeader/>
        </w:trPr>
        <w:tc>
          <w:tcPr>
            <w:tcW w:w="2063" w:type="dxa"/>
            <w:gridSpan w:val="2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gridSpan w:val="2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36" w:type="dxa"/>
            <w:vMerge w:val="restart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89" w:type="dxa"/>
            <w:gridSpan w:val="6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48" w:type="dxa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31607F" w:rsidTr="003102DB">
        <w:trPr>
          <w:cantSplit/>
          <w:trHeight w:val="332"/>
          <w:tblHeader/>
        </w:trPr>
        <w:tc>
          <w:tcPr>
            <w:tcW w:w="2063" w:type="dxa"/>
            <w:gridSpan w:val="2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75" w:type="dxa"/>
            <w:gridSpan w:val="2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36" w:type="dxa"/>
            <w:vMerge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44" w:type="dxa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23" w:type="dxa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43" w:type="dxa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433" w:type="dxa"/>
            <w:tcMar>
              <w:left w:w="108" w:type="dxa"/>
            </w:tcMar>
          </w:tcPr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(собственные средства предприятий, кредитные ресурсы банков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0" w:type="dxa"/>
            <w:gridSpan w:val="2"/>
            <w:tcMar>
              <w:left w:w="108" w:type="dxa"/>
            </w:tcMar>
            <w:vAlign w:val="center"/>
          </w:tcPr>
          <w:p w:rsidR="0031607F" w:rsidRDefault="003160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31607F" w:rsidTr="00D35403">
        <w:trPr>
          <w:cantSplit/>
          <w:trHeight w:val="145"/>
        </w:trPr>
        <w:tc>
          <w:tcPr>
            <w:tcW w:w="14786" w:type="dxa"/>
            <w:gridSpan w:val="13"/>
            <w:tcMar>
              <w:left w:w="108" w:type="dxa"/>
            </w:tcMar>
          </w:tcPr>
          <w:p w:rsidR="0031607F" w:rsidRPr="000D11AD" w:rsidRDefault="0031607F" w:rsidP="000D11AD">
            <w:pPr>
              <w:pStyle w:val="af0"/>
              <w:spacing w:line="276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0D11AD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Совершенствование развития транспортной системы и связи</w:t>
            </w:r>
          </w:p>
          <w:p w:rsidR="0031607F" w:rsidRDefault="0031607F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11AD" w:rsidTr="003102DB">
        <w:trPr>
          <w:cantSplit/>
          <w:trHeight w:val="145"/>
        </w:trPr>
        <w:tc>
          <w:tcPr>
            <w:tcW w:w="2110" w:type="dxa"/>
            <w:gridSpan w:val="3"/>
            <w:vMerge w:val="restart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дорог</w:t>
            </w:r>
          </w:p>
        </w:tc>
        <w:tc>
          <w:tcPr>
            <w:tcW w:w="2128" w:type="dxa"/>
            <w:vMerge w:val="restart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Грейдеровка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дорог </w:t>
            </w:r>
          </w:p>
        </w:tc>
        <w:tc>
          <w:tcPr>
            <w:tcW w:w="1275" w:type="dxa"/>
            <w:tcMar>
              <w:left w:w="108" w:type="dxa"/>
            </w:tcMar>
          </w:tcPr>
          <w:p w:rsidR="000D11AD" w:rsidRPr="000D11AD" w:rsidRDefault="000D11AD">
            <w:pPr>
              <w:pStyle w:val="af0"/>
              <w:spacing w:line="276" w:lineRule="auto"/>
              <w:rPr>
                <w:rFonts w:ascii="Times New Roman" w:hAnsi="Times New Roman"/>
              </w:rPr>
            </w:pPr>
            <w:r w:rsidRPr="000D11AD">
              <w:rPr>
                <w:rFonts w:ascii="Times New Roman" w:hAnsi="Times New Roman"/>
              </w:rPr>
              <w:t>2020</w:t>
            </w:r>
          </w:p>
        </w:tc>
        <w:tc>
          <w:tcPr>
            <w:tcW w:w="736" w:type="dxa"/>
            <w:tcMar>
              <w:left w:w="108" w:type="dxa"/>
            </w:tcMar>
          </w:tcPr>
          <w:p w:rsidR="000D11AD" w:rsidRPr="000D11AD" w:rsidRDefault="000D11AD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>327,5</w:t>
            </w:r>
          </w:p>
        </w:tc>
        <w:tc>
          <w:tcPr>
            <w:tcW w:w="141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0D11AD" w:rsidRPr="000D11AD" w:rsidRDefault="000D11AD" w:rsidP="00351BE9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>327,5</w:t>
            </w:r>
          </w:p>
        </w:tc>
        <w:tc>
          <w:tcPr>
            <w:tcW w:w="143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680" w:type="dxa"/>
            <w:gridSpan w:val="2"/>
            <w:vMerge w:val="restart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Светловского сельсовета</w:t>
            </w:r>
          </w:p>
        </w:tc>
      </w:tr>
      <w:tr w:rsidR="000D11AD" w:rsidTr="003102DB">
        <w:trPr>
          <w:cantSplit/>
          <w:trHeight w:val="145"/>
        </w:trPr>
        <w:tc>
          <w:tcPr>
            <w:tcW w:w="2110" w:type="dxa"/>
            <w:gridSpan w:val="3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0D11AD" w:rsidRPr="000D11AD" w:rsidRDefault="000D11AD">
            <w:pPr>
              <w:pStyle w:val="af0"/>
              <w:spacing w:line="276" w:lineRule="auto"/>
              <w:rPr>
                <w:rFonts w:ascii="Times New Roman" w:hAnsi="Times New Roman"/>
              </w:rPr>
            </w:pPr>
            <w:r w:rsidRPr="000D11AD">
              <w:rPr>
                <w:rFonts w:ascii="Times New Roman" w:hAnsi="Times New Roman"/>
              </w:rPr>
              <w:t>2021</w:t>
            </w:r>
          </w:p>
        </w:tc>
        <w:tc>
          <w:tcPr>
            <w:tcW w:w="736" w:type="dxa"/>
            <w:tcMar>
              <w:left w:w="108" w:type="dxa"/>
            </w:tcMar>
          </w:tcPr>
          <w:p w:rsidR="000D11AD" w:rsidRPr="000D11AD" w:rsidRDefault="000D11AD" w:rsidP="000D11AD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 xml:space="preserve">  337,8</w:t>
            </w:r>
          </w:p>
        </w:tc>
        <w:tc>
          <w:tcPr>
            <w:tcW w:w="141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0D11AD" w:rsidRPr="000D11AD" w:rsidRDefault="000D11AD" w:rsidP="00351BE9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 xml:space="preserve">  337,8</w:t>
            </w:r>
          </w:p>
        </w:tc>
        <w:tc>
          <w:tcPr>
            <w:tcW w:w="143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680" w:type="dxa"/>
            <w:gridSpan w:val="2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11AD" w:rsidTr="003102DB">
        <w:trPr>
          <w:cantSplit/>
          <w:trHeight w:val="145"/>
        </w:trPr>
        <w:tc>
          <w:tcPr>
            <w:tcW w:w="2110" w:type="dxa"/>
            <w:gridSpan w:val="3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0D11AD" w:rsidRPr="000D11AD" w:rsidRDefault="000D11AD">
            <w:pPr>
              <w:pStyle w:val="af0"/>
              <w:spacing w:line="276" w:lineRule="auto"/>
              <w:rPr>
                <w:rFonts w:ascii="Times New Roman" w:hAnsi="Times New Roman"/>
              </w:rPr>
            </w:pPr>
            <w:r w:rsidRPr="000D11AD">
              <w:rPr>
                <w:rFonts w:ascii="Times New Roman" w:hAnsi="Times New Roman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0D11AD" w:rsidRPr="000D11AD" w:rsidRDefault="000D11AD" w:rsidP="000D11AD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 xml:space="preserve"> 357,1</w:t>
            </w:r>
          </w:p>
        </w:tc>
        <w:tc>
          <w:tcPr>
            <w:tcW w:w="141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0D11AD" w:rsidRPr="000D11AD" w:rsidRDefault="000D11AD" w:rsidP="00351BE9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0D11AD">
              <w:rPr>
                <w:rFonts w:ascii="Times New Roman" w:hAnsi="Times New Roman"/>
                <w:lang w:eastAsia="ar-SA"/>
              </w:rPr>
              <w:t xml:space="preserve"> 357,1</w:t>
            </w:r>
          </w:p>
        </w:tc>
        <w:tc>
          <w:tcPr>
            <w:tcW w:w="1433" w:type="dxa"/>
            <w:tcMar>
              <w:left w:w="108" w:type="dxa"/>
            </w:tcMar>
          </w:tcPr>
          <w:p w:rsidR="000D11AD" w:rsidRDefault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680" w:type="dxa"/>
            <w:gridSpan w:val="2"/>
            <w:vMerge/>
            <w:tcMar>
              <w:left w:w="108" w:type="dxa"/>
            </w:tcMar>
            <w:vAlign w:val="center"/>
          </w:tcPr>
          <w:p w:rsidR="000D11AD" w:rsidRDefault="000D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145"/>
        </w:trPr>
        <w:tc>
          <w:tcPr>
            <w:tcW w:w="2110" w:type="dxa"/>
            <w:gridSpan w:val="3"/>
            <w:tcMar>
              <w:left w:w="108" w:type="dxa"/>
            </w:tcMar>
            <w:vAlign w:val="center"/>
          </w:tcPr>
          <w:p w:rsidR="004C1025" w:rsidRDefault="004C1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80,0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80,0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 Светловского сельсовета</w:t>
            </w:r>
          </w:p>
        </w:tc>
      </w:tr>
      <w:tr w:rsidR="004C1025" w:rsidTr="00D35403">
        <w:trPr>
          <w:cantSplit/>
          <w:trHeight w:val="145"/>
        </w:trPr>
        <w:tc>
          <w:tcPr>
            <w:tcW w:w="14786" w:type="dxa"/>
            <w:gridSpan w:val="13"/>
            <w:tcMar>
              <w:left w:w="108" w:type="dxa"/>
            </w:tcMar>
          </w:tcPr>
          <w:p w:rsidR="004C1025" w:rsidRPr="000D11AD" w:rsidRDefault="004C1025" w:rsidP="000D11AD">
            <w:pPr>
              <w:pStyle w:val="af0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11AD">
              <w:rPr>
                <w:rFonts w:ascii="Times New Roman" w:hAnsi="Times New Roman"/>
                <w:b/>
                <w:i/>
                <w:sz w:val="24"/>
                <w:szCs w:val="24"/>
              </w:rPr>
              <w:t>Природопользование, охрана окружающей среды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145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Мероприятия по землеустройству и землепользованию</w:t>
            </w: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по землеустройству и землепользованию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Светловского сельсовета</w:t>
            </w:r>
          </w:p>
        </w:tc>
      </w:tr>
      <w:tr w:rsidR="004C1025" w:rsidTr="003102DB">
        <w:trPr>
          <w:cantSplit/>
          <w:trHeight w:val="136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условий для повышения уровня занятости населения, сокращения уровня безработицы; поддержка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населения, развитии личных подсобных хозяйств</w:t>
            </w: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общественных работ 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временной занятости несовершеннолетних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безработных граждан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274A67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Светловского сельсовета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Светловская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СОШ»</w:t>
            </w:r>
          </w:p>
        </w:tc>
      </w:tr>
      <w:tr w:rsidR="004C1025" w:rsidTr="00D35403">
        <w:trPr>
          <w:cantSplit/>
          <w:trHeight w:val="302"/>
        </w:trPr>
        <w:tc>
          <w:tcPr>
            <w:tcW w:w="14786" w:type="dxa"/>
            <w:gridSpan w:val="13"/>
            <w:tcMar>
              <w:left w:w="108" w:type="dxa"/>
            </w:tcMar>
          </w:tcPr>
          <w:p w:rsidR="004C1025" w:rsidRPr="000D11AD" w:rsidRDefault="004C1025" w:rsidP="000D11AD">
            <w:pPr>
              <w:pStyle w:val="af0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11AD">
              <w:rPr>
                <w:rFonts w:ascii="Times New Roman" w:hAnsi="Times New Roman"/>
                <w:b/>
                <w:i/>
                <w:sz w:val="24"/>
                <w:szCs w:val="24"/>
              </w:rPr>
              <w:t>Молодежная политика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916"/>
        </w:trPr>
        <w:tc>
          <w:tcPr>
            <w:tcW w:w="2016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социального становления молодежи</w:t>
            </w:r>
          </w:p>
        </w:tc>
        <w:tc>
          <w:tcPr>
            <w:tcW w:w="2222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351BE9">
            <w:pPr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D35403">
        <w:trPr>
          <w:cantSplit/>
          <w:trHeight w:val="302"/>
        </w:trPr>
        <w:tc>
          <w:tcPr>
            <w:tcW w:w="14786" w:type="dxa"/>
            <w:gridSpan w:val="1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C1025" w:rsidRPr="000D11AD" w:rsidRDefault="004C1025">
            <w:pPr>
              <w:pStyle w:val="af0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0D11AD"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Физическая культура и спорт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1415"/>
        </w:trPr>
        <w:tc>
          <w:tcPr>
            <w:tcW w:w="2110" w:type="dxa"/>
            <w:gridSpan w:val="3"/>
            <w:tcMar>
              <w:left w:w="108" w:type="dxa"/>
            </w:tcMar>
            <w:vAlign w:val="center"/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спортивно-массовых мероприятий, (традиционных волейбольных турниров, поездки на районные спортивные мероприятиям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спортивного инвентаря, проведение Дня физкультурника)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  <w:vAlign w:val="center"/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D35403">
        <w:trPr>
          <w:cantSplit/>
          <w:trHeight w:val="302"/>
        </w:trPr>
        <w:tc>
          <w:tcPr>
            <w:tcW w:w="14786" w:type="dxa"/>
            <w:gridSpan w:val="1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C1025" w:rsidRPr="004C1025" w:rsidRDefault="004C1025" w:rsidP="004C1025">
            <w:pPr>
              <w:pStyle w:val="af0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1025">
              <w:rPr>
                <w:rFonts w:ascii="Times New Roman" w:hAnsi="Times New Roman"/>
                <w:b/>
                <w:i/>
                <w:sz w:val="24"/>
                <w:szCs w:val="24"/>
              </w:rPr>
              <w:t>Культура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820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популяризации самобытности, культурного наследия и развития самодеятельного народного творчества</w:t>
            </w: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 культурно-массовых мероприятий, конкурсов, смотров самодеятельного народного творчества (проводы зимы День Победы,    День пожилых людей, День матери)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Pr="00D62622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622"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D62622">
            <w:pPr>
              <w:rPr>
                <w:lang w:eastAsia="ar-SA"/>
              </w:rPr>
            </w:pP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Pr="00D62622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622"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  <w:p w:rsidR="004C1025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 w:rsidP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02DB" w:rsidTr="00F02B05">
        <w:trPr>
          <w:cantSplit/>
          <w:trHeight w:val="302"/>
        </w:trPr>
        <w:tc>
          <w:tcPr>
            <w:tcW w:w="14786" w:type="dxa"/>
            <w:gridSpan w:val="13"/>
            <w:tcMar>
              <w:left w:w="108" w:type="dxa"/>
            </w:tcMar>
          </w:tcPr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02DB" w:rsidRPr="003102DB" w:rsidRDefault="003102DB" w:rsidP="003102DB">
            <w:pPr>
              <w:pStyle w:val="af0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02DB">
              <w:rPr>
                <w:rFonts w:ascii="Times New Roman" w:hAnsi="Times New Roman"/>
                <w:b/>
                <w:i/>
                <w:sz w:val="24"/>
                <w:szCs w:val="24"/>
              </w:rPr>
              <w:t>« Социальная защита»</w:t>
            </w:r>
          </w:p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1034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доплаты к пенсиям государственных служащих субъектов РФ и  муниципальных служащих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Pr="00D62622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</w:rPr>
            </w:pPr>
            <w:r w:rsidRPr="00D62622">
              <w:rPr>
                <w:rFonts w:ascii="Times New Roman" w:hAnsi="Times New Roman"/>
              </w:rPr>
              <w:t>2020</w:t>
            </w:r>
          </w:p>
          <w:p w:rsidR="004C1025" w:rsidRPr="00D62622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2021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Pr="00D62622" w:rsidRDefault="004C1025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  <w:p w:rsidR="004C1025" w:rsidRPr="00D62622" w:rsidRDefault="004C1025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  <w:p w:rsidR="004C1025" w:rsidRPr="00D62622" w:rsidRDefault="004C1025">
            <w:pPr>
              <w:pStyle w:val="af0"/>
              <w:spacing w:line="276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3102DB" w:rsidRPr="00D62622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  <w:p w:rsidR="003102DB" w:rsidRPr="00D62622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  <w:p w:rsidR="004C1025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622">
              <w:rPr>
                <w:rFonts w:ascii="Times New Roman" w:hAnsi="Times New Roman"/>
                <w:lang w:eastAsia="ar-SA"/>
              </w:rPr>
              <w:t>170,6</w:t>
            </w: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302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6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1025" w:rsidTr="003102DB">
        <w:trPr>
          <w:cantSplit/>
          <w:trHeight w:val="765"/>
        </w:trPr>
        <w:tc>
          <w:tcPr>
            <w:tcW w:w="2110" w:type="dxa"/>
            <w:gridSpan w:val="3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128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по предупреждению и ликвидаций последствий чрезвычайных ситуаций и стихийных бедствий</w:t>
            </w:r>
          </w:p>
        </w:tc>
        <w:tc>
          <w:tcPr>
            <w:tcW w:w="1275" w:type="dxa"/>
            <w:tcMar>
              <w:left w:w="108" w:type="dxa"/>
            </w:tcMar>
          </w:tcPr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4C1025" w:rsidRDefault="004C1025" w:rsidP="00631860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4C1025" w:rsidRPr="000D11AD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Pr="000D11AD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206DA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Pr="000D11AD" w:rsidRDefault="004C1025" w:rsidP="000D11AD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rPr>
                <w:lang w:eastAsia="ar-SA"/>
              </w:rPr>
            </w:pPr>
          </w:p>
        </w:tc>
        <w:tc>
          <w:tcPr>
            <w:tcW w:w="141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206DA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11AD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3" w:type="dxa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4C1025" w:rsidRDefault="004C1025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02DB" w:rsidTr="003102DB">
        <w:trPr>
          <w:cantSplit/>
          <w:trHeight w:val="765"/>
        </w:trPr>
        <w:tc>
          <w:tcPr>
            <w:tcW w:w="2110" w:type="dxa"/>
            <w:gridSpan w:val="3"/>
            <w:tcMar>
              <w:left w:w="108" w:type="dxa"/>
            </w:tcMar>
          </w:tcPr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2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2128" w:type="dxa"/>
            <w:tcMar>
              <w:left w:w="108" w:type="dxa"/>
            </w:tcMar>
          </w:tcPr>
          <w:p w:rsidR="003102DB" w:rsidRPr="003102DB" w:rsidRDefault="003102DB" w:rsidP="003102DB">
            <w:pPr>
              <w:rPr>
                <w:rFonts w:ascii="Times New Roman" w:hAnsi="Times New Roman"/>
                <w:sz w:val="24"/>
                <w:szCs w:val="24"/>
              </w:rPr>
            </w:pPr>
            <w:r w:rsidRPr="003102DB">
              <w:rPr>
                <w:rFonts w:ascii="Times New Roman" w:hAnsi="Times New Roman"/>
              </w:rPr>
              <w:t>Мероприятия по мониторингу и техническому обслуживанию датчиков в целях обеспечения пожарной безопасности социально-незащищенной категории граждан</w:t>
            </w:r>
          </w:p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left w:w="108" w:type="dxa"/>
            </w:tcMar>
          </w:tcPr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36" w:type="dxa"/>
            <w:tcMar>
              <w:left w:w="108" w:type="dxa"/>
            </w:tcMar>
          </w:tcPr>
          <w:p w:rsidR="003102DB" w:rsidRPr="000D11AD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206DA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Pr="000D11AD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102DB" w:rsidRDefault="003102DB" w:rsidP="003102DB">
            <w:pPr>
              <w:pStyle w:val="af0"/>
              <w:spacing w:line="276" w:lineRule="auto"/>
              <w:rPr>
                <w:lang w:eastAsia="ar-SA"/>
              </w:rPr>
            </w:pPr>
          </w:p>
        </w:tc>
        <w:tc>
          <w:tcPr>
            <w:tcW w:w="1414" w:type="dxa"/>
            <w:tcMar>
              <w:left w:w="108" w:type="dxa"/>
            </w:tcMar>
          </w:tcPr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4" w:type="dxa"/>
            <w:tcMar>
              <w:left w:w="108" w:type="dxa"/>
            </w:tcMar>
          </w:tcPr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dxa"/>
            <w:tcMar>
              <w:left w:w="108" w:type="dxa"/>
            </w:tcMar>
          </w:tcPr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  <w:tcMar>
              <w:left w:w="108" w:type="dxa"/>
            </w:tcMar>
          </w:tcPr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206DA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Pr="000D11AD" w:rsidRDefault="003102DB" w:rsidP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  <w:p w:rsidR="003102DB" w:rsidRDefault="003102DB" w:rsidP="00351BE9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3" w:type="dxa"/>
            <w:tcMar>
              <w:left w:w="108" w:type="dxa"/>
            </w:tcMar>
          </w:tcPr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gridSpan w:val="2"/>
            <w:tcMar>
              <w:left w:w="108" w:type="dxa"/>
            </w:tcMar>
          </w:tcPr>
          <w:p w:rsidR="003102DB" w:rsidRDefault="003102DB">
            <w:pPr>
              <w:pStyle w:val="af0"/>
              <w:spacing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1607F" w:rsidRDefault="0031607F">
      <w:pPr>
        <w:pStyle w:val="af0"/>
        <w:sectPr w:rsidR="0031607F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240" w:charSpace="-2049"/>
        </w:sectPr>
      </w:pPr>
      <w:r>
        <w:t xml:space="preserve">       </w:t>
      </w:r>
    </w:p>
    <w:p w:rsidR="00631860" w:rsidRDefault="00631860" w:rsidP="00631860">
      <w:pPr>
        <w:pStyle w:val="2"/>
      </w:pPr>
      <w:r>
        <w:lastRenderedPageBreak/>
        <w:t>Основные показатели социально-экономического развития на 2020-2022 год</w:t>
      </w:r>
    </w:p>
    <w:p w:rsidR="00631860" w:rsidRDefault="00631860" w:rsidP="00631860">
      <w:pPr>
        <w:pStyle w:val="2"/>
        <w:rPr>
          <w:u w:val="single"/>
        </w:rPr>
      </w:pPr>
      <w:proofErr w:type="spellStart"/>
      <w:r>
        <w:rPr>
          <w:u w:val="single"/>
        </w:rPr>
        <w:t>_Светловского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сельсовета__Краснозерского</w:t>
      </w:r>
      <w:proofErr w:type="spellEnd"/>
      <w:r>
        <w:rPr>
          <w:u w:val="single"/>
        </w:rPr>
        <w:t xml:space="preserve"> района</w:t>
      </w:r>
    </w:p>
    <w:p w:rsidR="00631860" w:rsidRDefault="00631860" w:rsidP="00631860">
      <w:pPr>
        <w:pStyle w:val="LO-Normal"/>
        <w:rPr>
          <w:u w:val="single"/>
        </w:rPr>
      </w:pPr>
      <w:r>
        <w:rPr>
          <w:u w:val="single"/>
        </w:rPr>
        <w:t xml:space="preserve"> </w:t>
      </w:r>
    </w:p>
    <w:p w:rsidR="00631860" w:rsidRDefault="00631860" w:rsidP="00631860">
      <w:pPr>
        <w:pStyle w:val="LO-Normal"/>
        <w:jc w:val="center"/>
        <w:rPr>
          <w:sz w:val="26"/>
        </w:rPr>
      </w:pPr>
    </w:p>
    <w:tbl>
      <w:tblPr>
        <w:tblW w:w="1599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1758"/>
        <w:gridCol w:w="1037"/>
        <w:gridCol w:w="787"/>
        <w:gridCol w:w="913"/>
        <w:gridCol w:w="1309"/>
        <w:gridCol w:w="960"/>
        <w:gridCol w:w="1355"/>
        <w:gridCol w:w="915"/>
        <w:gridCol w:w="1307"/>
        <w:gridCol w:w="961"/>
        <w:gridCol w:w="1260"/>
        <w:gridCol w:w="1009"/>
        <w:gridCol w:w="1215"/>
        <w:gridCol w:w="1211"/>
      </w:tblGrid>
      <w:tr w:rsidR="00631860" w:rsidTr="00274A67">
        <w:trPr>
          <w:gridAfter w:val="1"/>
          <w:wAfter w:w="1211" w:type="dxa"/>
          <w:cantSplit/>
          <w:tblHeader/>
        </w:trPr>
        <w:tc>
          <w:tcPr>
            <w:tcW w:w="279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Показатели развития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7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2018 г.</w:t>
            </w:r>
          </w:p>
        </w:tc>
        <w:tc>
          <w:tcPr>
            <w:tcW w:w="23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 г.</w:t>
            </w:r>
          </w:p>
        </w:tc>
        <w:tc>
          <w:tcPr>
            <w:tcW w:w="2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 г.</w:t>
            </w:r>
          </w:p>
        </w:tc>
        <w:tc>
          <w:tcPr>
            <w:tcW w:w="22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 г.</w:t>
            </w:r>
          </w:p>
        </w:tc>
        <w:tc>
          <w:tcPr>
            <w:tcW w:w="22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 г.</w:t>
            </w:r>
          </w:p>
        </w:tc>
      </w:tr>
      <w:tr w:rsidR="00631860" w:rsidTr="00274A67">
        <w:trPr>
          <w:gridAfter w:val="1"/>
          <w:wAfter w:w="1211" w:type="dxa"/>
          <w:cantSplit/>
          <w:tblHeader/>
        </w:trPr>
        <w:tc>
          <w:tcPr>
            <w:tcW w:w="2795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31860" w:rsidRDefault="00631860" w:rsidP="00274A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31860" w:rsidRDefault="00631860" w:rsidP="00274A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отчет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предыдущему  году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предыдущему  году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предыдущему  году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предыдущему  году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предыдущему  году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>Численность постоянного населения  (на конец года)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469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98,9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462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98,5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434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434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434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родившихся</w:t>
            </w:r>
            <w:proofErr w:type="gramEnd"/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умерших</w:t>
            </w:r>
            <w:proofErr w:type="gramEnd"/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56,0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54,5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прибывших</w:t>
            </w:r>
            <w:proofErr w:type="gramEnd"/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выбывших</w:t>
            </w:r>
            <w:proofErr w:type="gramEnd"/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16,6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Число детей, умерших в возрасте до 1 года, на 1000 родившихся живыми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Материнская смертность на 100 тыс. </w:t>
            </w:r>
            <w:proofErr w:type="gramStart"/>
            <w:r>
              <w:rPr>
                <w:sz w:val="24"/>
              </w:rPr>
              <w:t>родившихся</w:t>
            </w:r>
            <w:proofErr w:type="gramEnd"/>
            <w:r>
              <w:rPr>
                <w:sz w:val="24"/>
              </w:rPr>
              <w:t xml:space="preserve"> живыми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Средняя наполняемость классов в общеобразовательных учреждениях – всего,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96,4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- в т.ч. в городских поселениях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в сельских поселениях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96,4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r>
              <w:t>Х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r>
              <w:t>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r>
              <w:t>Х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r>
              <w:t>Х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r>
              <w:t>Х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17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Объем отгруженных </w:t>
            </w:r>
            <w:r>
              <w:rPr>
                <w:sz w:val="24"/>
              </w:rPr>
              <w:lastRenderedPageBreak/>
              <w:t xml:space="preserve">товаров собственного производства, </w:t>
            </w:r>
            <w:proofErr w:type="spellStart"/>
            <w:proofErr w:type="gramStart"/>
            <w:r>
              <w:rPr>
                <w:sz w:val="24"/>
              </w:rPr>
              <w:t>выполнен-ных</w:t>
            </w:r>
            <w:proofErr w:type="spellEnd"/>
            <w:proofErr w:type="gramEnd"/>
            <w:r>
              <w:rPr>
                <w:sz w:val="24"/>
              </w:rPr>
              <w:t xml:space="preserve"> работ и услуг собственными силами организаций по  видам экономической </w:t>
            </w:r>
            <w:proofErr w:type="spellStart"/>
            <w:r>
              <w:rPr>
                <w:sz w:val="24"/>
              </w:rPr>
              <w:t>деятель-ности</w:t>
            </w:r>
            <w:proofErr w:type="spellEnd"/>
            <w:r>
              <w:rPr>
                <w:sz w:val="24"/>
              </w:rPr>
              <w:t xml:space="preserve">: добыча полезных ископаемых, </w:t>
            </w:r>
            <w:proofErr w:type="spellStart"/>
            <w:r>
              <w:rPr>
                <w:sz w:val="24"/>
              </w:rPr>
              <w:t>обрабаты-вающие</w:t>
            </w:r>
            <w:proofErr w:type="spellEnd"/>
            <w:r>
              <w:rPr>
                <w:sz w:val="24"/>
              </w:rPr>
              <w:t xml:space="preserve"> отрасли, </w:t>
            </w:r>
            <w:proofErr w:type="spellStart"/>
            <w:r>
              <w:rPr>
                <w:sz w:val="24"/>
              </w:rPr>
              <w:t>произ-водство</w:t>
            </w:r>
            <w:proofErr w:type="spellEnd"/>
            <w:r>
              <w:rPr>
                <w:sz w:val="24"/>
              </w:rPr>
              <w:t xml:space="preserve"> и распределение электроэнергии, газа и  воды, млн. руб.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17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31860" w:rsidRDefault="00631860" w:rsidP="00274A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сопост</w:t>
            </w:r>
            <w:proofErr w:type="spellEnd"/>
            <w:r>
              <w:rPr>
                <w:sz w:val="24"/>
              </w:rPr>
              <w:t xml:space="preserve">. ценах </w:t>
            </w:r>
            <w:proofErr w:type="spellStart"/>
            <w:r>
              <w:rPr>
                <w:sz w:val="24"/>
              </w:rPr>
              <w:t>предыд</w:t>
            </w:r>
            <w:proofErr w:type="spellEnd"/>
            <w:r>
              <w:rPr>
                <w:sz w:val="24"/>
              </w:rPr>
              <w:t>. года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631860" w:rsidTr="00274A67">
        <w:trPr>
          <w:gridAfter w:val="1"/>
          <w:wAfter w:w="1211" w:type="dxa"/>
          <w:cantSplit/>
          <w:trHeight w:val="425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106,0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310"/>
        </w:trPr>
        <w:tc>
          <w:tcPr>
            <w:tcW w:w="35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2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31860" w:rsidTr="00274A67">
        <w:trPr>
          <w:gridAfter w:val="1"/>
          <w:wAfter w:w="1211" w:type="dxa"/>
          <w:cantSplit/>
          <w:trHeight w:val="439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голов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97,7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03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голов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98,0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34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3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голов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63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63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63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63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63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01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тонн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1,23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106,5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1,23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1,23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1,23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1,23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480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Инвестиции в основной капитал за счет всех источников финансирования</w:t>
            </w: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1860" w:rsidTr="00274A67">
        <w:trPr>
          <w:gridAfter w:val="1"/>
          <w:wAfter w:w="1211" w:type="dxa"/>
          <w:cantSplit/>
          <w:trHeight w:val="480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Объем выполненных работ по виду деятельности «строительство»,  включая </w:t>
            </w:r>
            <w:proofErr w:type="spellStart"/>
            <w:r>
              <w:rPr>
                <w:sz w:val="24"/>
              </w:rPr>
              <w:t>хозспособ</w:t>
            </w:r>
            <w:proofErr w:type="spellEnd"/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1860" w:rsidTr="00274A67">
        <w:trPr>
          <w:cantSplit/>
          <w:trHeight w:val="510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общ.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Pr="00340D49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340D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631860" w:rsidRPr="00210156" w:rsidRDefault="00631860" w:rsidP="00274A67">
            <w:r w:rsidRPr="00210156">
              <w:t>0</w:t>
            </w:r>
          </w:p>
        </w:tc>
      </w:tr>
      <w:tr w:rsidR="00631860" w:rsidTr="00274A67">
        <w:trPr>
          <w:gridAfter w:val="1"/>
          <w:wAfter w:w="1211" w:type="dxa"/>
          <w:cantSplit/>
          <w:trHeight w:val="510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общ.</w:t>
            </w: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530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Общая площадь жилых помещений, приходящаяся на 1 жителя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gramEnd"/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Pr="00210156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210156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52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Перевезено грузов автомобильным транспортом 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18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Перевезено пассажиров автомобильным транспортом  общего пользования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  <w:trHeight w:val="424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100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17400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17400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17400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17400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3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дейст.ц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Уровень официально зарегистрированной безработицы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Численность </w:t>
            </w:r>
            <w:proofErr w:type="gramStart"/>
            <w:r>
              <w:rPr>
                <w:sz w:val="24"/>
              </w:rPr>
              <w:t>занятых</w:t>
            </w:r>
            <w:proofErr w:type="gramEnd"/>
            <w:r>
              <w:rPr>
                <w:sz w:val="24"/>
              </w:rPr>
              <w:t xml:space="preserve"> в экономике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Численность занятых на малых предприятиях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Численность индивидуальных предпринимателей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Удельный вес продукции, работ и услуг, произведенных малыми предприятиями и индивидуальными предпринимателями, в общем объеме выпуска продукции, работ и услуг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631860" w:rsidTr="00274A67">
        <w:trPr>
          <w:gridAfter w:val="1"/>
          <w:wAfter w:w="1211" w:type="dxa"/>
          <w:cantSplit/>
          <w:trHeight w:val="527"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Общий фонд оплаты труда (для расчета среднемесячной заработной платы), млн. руб.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9,6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13,4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13,4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13,4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Среднесписочная численность работников, чел. (для расчета среднемесячной заработной платы)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65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65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65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65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Среднемесячная номинальная начисленная заработная плата (по полному кругу предприятий) 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 12305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 12305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 12305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 12305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 12305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B08EF" w:rsidRDefault="00631860" w:rsidP="00274A67">
            <w:pPr>
              <w:rPr>
                <w:rFonts w:ascii="Times New Roman" w:hAnsi="Times New Roman"/>
                <w:sz w:val="24"/>
                <w:szCs w:val="24"/>
              </w:rPr>
            </w:pPr>
            <w:r w:rsidRPr="00CB08EF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</w:tr>
      <w:tr w:rsidR="00631860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</w:p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31860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31860" w:rsidRPr="00CC2B22" w:rsidTr="00274A67">
        <w:trPr>
          <w:gridAfter w:val="1"/>
          <w:wAfter w:w="1211" w:type="dxa"/>
          <w:cantSplit/>
        </w:trPr>
        <w:tc>
          <w:tcPr>
            <w:tcW w:w="2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тыс. руб.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52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52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52</w:t>
            </w:r>
          </w:p>
        </w:tc>
        <w:tc>
          <w:tcPr>
            <w:tcW w:w="130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52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3" w:type="dxa"/>
            </w:tcMar>
          </w:tcPr>
          <w:p w:rsidR="00631860" w:rsidRPr="00CC2B22" w:rsidRDefault="00631860" w:rsidP="00274A67">
            <w:pPr>
              <w:pStyle w:val="LO-Normal"/>
              <w:spacing w:line="276" w:lineRule="auto"/>
              <w:rPr>
                <w:sz w:val="24"/>
              </w:rPr>
            </w:pPr>
            <w:r w:rsidRPr="00CC2B22">
              <w:rPr>
                <w:sz w:val="24"/>
              </w:rPr>
              <w:t>100</w:t>
            </w:r>
          </w:p>
        </w:tc>
      </w:tr>
    </w:tbl>
    <w:p w:rsidR="00631860" w:rsidRDefault="00631860" w:rsidP="00631860"/>
    <w:p w:rsidR="0031607F" w:rsidRDefault="0031607F">
      <w:pPr>
        <w:pStyle w:val="14"/>
        <w:jc w:val="left"/>
      </w:pPr>
    </w:p>
    <w:p w:rsidR="0031607F" w:rsidRDefault="0031607F"/>
    <w:sectPr w:rsidR="0031607F" w:rsidSect="00D141FA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C2" w:rsidRDefault="00716EC2" w:rsidP="00760CDF">
      <w:pPr>
        <w:spacing w:after="0" w:line="240" w:lineRule="auto"/>
      </w:pPr>
      <w:r>
        <w:separator/>
      </w:r>
    </w:p>
  </w:endnote>
  <w:endnote w:type="continuationSeparator" w:id="0">
    <w:p w:rsidR="00716EC2" w:rsidRDefault="00716EC2" w:rsidP="0076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C2" w:rsidRDefault="00716EC2" w:rsidP="00760CDF">
      <w:pPr>
        <w:spacing w:after="0" w:line="240" w:lineRule="auto"/>
      </w:pPr>
      <w:r>
        <w:separator/>
      </w:r>
    </w:p>
  </w:footnote>
  <w:footnote w:type="continuationSeparator" w:id="0">
    <w:p w:rsidR="00716EC2" w:rsidRDefault="00716EC2" w:rsidP="00760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A67" w:rsidRDefault="00274A67" w:rsidP="00760CDF">
    <w:pPr>
      <w:pStyle w:val="ad"/>
      <w:tabs>
        <w:tab w:val="clear" w:pos="4677"/>
        <w:tab w:val="clear" w:pos="9355"/>
        <w:tab w:val="left" w:pos="7170"/>
      </w:tabs>
    </w:pPr>
    <w:r>
      <w:tab/>
    </w:r>
  </w:p>
  <w:p w:rsidR="00274A67" w:rsidRDefault="00274A67" w:rsidP="00420114">
    <w:pPr>
      <w:pStyle w:val="ad"/>
      <w:tabs>
        <w:tab w:val="clear" w:pos="4677"/>
        <w:tab w:val="clear" w:pos="9355"/>
        <w:tab w:val="left" w:pos="7170"/>
      </w:tabs>
      <w:jc w:val="right"/>
    </w:pPr>
    <w:r>
      <w:t>Приложение№4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3646"/>
    <w:multiLevelType w:val="multilevel"/>
    <w:tmpl w:val="6FEE6B5A"/>
    <w:lvl w:ilvl="0">
      <w:start w:val="5"/>
      <w:numFmt w:val="bullet"/>
      <w:lvlText w:val="-"/>
      <w:lvlJc w:val="left"/>
      <w:pPr>
        <w:ind w:firstLine="34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6480" w:hanging="360"/>
      </w:pPr>
      <w:rPr>
        <w:rFonts w:cs="Times New Roman"/>
      </w:rPr>
    </w:lvl>
  </w:abstractNum>
  <w:abstractNum w:abstractNumId="1">
    <w:nsid w:val="59E91840"/>
    <w:multiLevelType w:val="multilevel"/>
    <w:tmpl w:val="F20A19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1FA"/>
    <w:rsid w:val="00042EB8"/>
    <w:rsid w:val="00052115"/>
    <w:rsid w:val="0005636A"/>
    <w:rsid w:val="00067510"/>
    <w:rsid w:val="00075E72"/>
    <w:rsid w:val="000D11AD"/>
    <w:rsid w:val="00133BA4"/>
    <w:rsid w:val="0014043C"/>
    <w:rsid w:val="001D28C4"/>
    <w:rsid w:val="001E3885"/>
    <w:rsid w:val="001E7D75"/>
    <w:rsid w:val="00201706"/>
    <w:rsid w:val="00210156"/>
    <w:rsid w:val="002107F8"/>
    <w:rsid w:val="00274A67"/>
    <w:rsid w:val="002E372C"/>
    <w:rsid w:val="003102DB"/>
    <w:rsid w:val="0031607F"/>
    <w:rsid w:val="00340D49"/>
    <w:rsid w:val="00357C25"/>
    <w:rsid w:val="003D25FE"/>
    <w:rsid w:val="00403783"/>
    <w:rsid w:val="00403B57"/>
    <w:rsid w:val="00420114"/>
    <w:rsid w:val="004B1D92"/>
    <w:rsid w:val="004C1025"/>
    <w:rsid w:val="006206DA"/>
    <w:rsid w:val="00631860"/>
    <w:rsid w:val="006B7B7A"/>
    <w:rsid w:val="00716EC2"/>
    <w:rsid w:val="00756F07"/>
    <w:rsid w:val="00760CDF"/>
    <w:rsid w:val="00862EE3"/>
    <w:rsid w:val="008717AB"/>
    <w:rsid w:val="008A4BAD"/>
    <w:rsid w:val="00984A58"/>
    <w:rsid w:val="00A5243B"/>
    <w:rsid w:val="00BC0906"/>
    <w:rsid w:val="00CB08EF"/>
    <w:rsid w:val="00CC2B22"/>
    <w:rsid w:val="00D141FA"/>
    <w:rsid w:val="00D35403"/>
    <w:rsid w:val="00D62622"/>
    <w:rsid w:val="00DA5059"/>
    <w:rsid w:val="00F1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92"/>
    <w:pPr>
      <w:suppressAutoHyphens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4B1D92"/>
    <w:rPr>
      <w:rFonts w:cs="Times New Roman"/>
    </w:rPr>
  </w:style>
  <w:style w:type="character" w:customStyle="1" w:styleId="a4">
    <w:name w:val="Нижний колонтитул Знак"/>
    <w:basedOn w:val="a0"/>
    <w:uiPriority w:val="99"/>
    <w:semiHidden/>
    <w:rsid w:val="004B1D92"/>
    <w:rPr>
      <w:rFonts w:cs="Times New Roman"/>
    </w:rPr>
  </w:style>
  <w:style w:type="character" w:customStyle="1" w:styleId="a5">
    <w:name w:val="Основной текст с отступом Знак"/>
    <w:basedOn w:val="a0"/>
    <w:uiPriority w:val="99"/>
    <w:semiHidden/>
    <w:rsid w:val="004B1D92"/>
    <w:rPr>
      <w:rFonts w:ascii="Times New Roman" w:hAnsi="Times New Roman" w:cs="Times New Roman"/>
      <w:sz w:val="20"/>
      <w:szCs w:val="20"/>
    </w:rPr>
  </w:style>
  <w:style w:type="character" w:customStyle="1" w:styleId="3">
    <w:name w:val="Основной текст с отступом 3 Знак"/>
    <w:basedOn w:val="a0"/>
    <w:uiPriority w:val="99"/>
    <w:semiHidden/>
    <w:locked/>
    <w:rsid w:val="004B1D92"/>
    <w:rPr>
      <w:rFonts w:ascii="Times New Roman" w:hAnsi="Times New Roman" w:cs="Times New Roman"/>
      <w:sz w:val="20"/>
      <w:szCs w:val="20"/>
    </w:rPr>
  </w:style>
  <w:style w:type="character" w:customStyle="1" w:styleId="ListLabel1">
    <w:name w:val="ListLabel 1"/>
    <w:uiPriority w:val="99"/>
    <w:rsid w:val="00D141FA"/>
    <w:rPr>
      <w:rFonts w:eastAsia="Times New Roman"/>
    </w:rPr>
  </w:style>
  <w:style w:type="paragraph" w:customStyle="1" w:styleId="a6">
    <w:name w:val="Заголовок"/>
    <w:basedOn w:val="a"/>
    <w:next w:val="a7"/>
    <w:uiPriority w:val="99"/>
    <w:rsid w:val="00D141FA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7">
    <w:name w:val="Body Text"/>
    <w:basedOn w:val="a"/>
    <w:link w:val="a8"/>
    <w:uiPriority w:val="99"/>
    <w:rsid w:val="00D141FA"/>
    <w:pPr>
      <w:spacing w:after="140" w:line="288" w:lineRule="auto"/>
    </w:pPr>
  </w:style>
  <w:style w:type="character" w:customStyle="1" w:styleId="a8">
    <w:name w:val="Основной текст Знак"/>
    <w:basedOn w:val="a0"/>
    <w:link w:val="a7"/>
    <w:uiPriority w:val="99"/>
    <w:semiHidden/>
    <w:rsid w:val="00A3002D"/>
  </w:style>
  <w:style w:type="paragraph" w:styleId="a9">
    <w:name w:val="List"/>
    <w:basedOn w:val="a7"/>
    <w:uiPriority w:val="99"/>
    <w:rsid w:val="00D141FA"/>
    <w:rPr>
      <w:rFonts w:cs="Mangal"/>
    </w:rPr>
  </w:style>
  <w:style w:type="paragraph" w:styleId="aa">
    <w:name w:val="Title"/>
    <w:basedOn w:val="a"/>
    <w:link w:val="ab"/>
    <w:uiPriority w:val="99"/>
    <w:qFormat/>
    <w:rsid w:val="00D141FA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rsid w:val="00A300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4B1D92"/>
    <w:pPr>
      <w:ind w:left="220" w:hanging="220"/>
    </w:pPr>
  </w:style>
  <w:style w:type="paragraph" w:styleId="ac">
    <w:name w:val="index heading"/>
    <w:basedOn w:val="a"/>
    <w:uiPriority w:val="99"/>
    <w:rsid w:val="00D141FA"/>
    <w:pPr>
      <w:suppressLineNumbers/>
    </w:pPr>
    <w:rPr>
      <w:rFonts w:cs="Mangal"/>
    </w:rPr>
  </w:style>
  <w:style w:type="paragraph" w:styleId="10">
    <w:name w:val="toc 1"/>
    <w:basedOn w:val="a"/>
    <w:autoRedefine/>
    <w:uiPriority w:val="99"/>
    <w:semiHidden/>
    <w:rsid w:val="004B1D92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ad">
    <w:name w:val="header"/>
    <w:basedOn w:val="a"/>
    <w:link w:val="11"/>
    <w:uiPriority w:val="99"/>
    <w:semiHidden/>
    <w:rsid w:val="004B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d"/>
    <w:uiPriority w:val="99"/>
    <w:semiHidden/>
    <w:rsid w:val="00A3002D"/>
  </w:style>
  <w:style w:type="paragraph" w:styleId="ae">
    <w:name w:val="footer"/>
    <w:basedOn w:val="a"/>
    <w:link w:val="12"/>
    <w:uiPriority w:val="99"/>
    <w:semiHidden/>
    <w:rsid w:val="004B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e"/>
    <w:uiPriority w:val="99"/>
    <w:semiHidden/>
    <w:rsid w:val="00A3002D"/>
  </w:style>
  <w:style w:type="paragraph" w:styleId="af">
    <w:name w:val="Body Text Indent"/>
    <w:basedOn w:val="a"/>
    <w:link w:val="13"/>
    <w:uiPriority w:val="99"/>
    <w:semiHidden/>
    <w:rsid w:val="004B1D92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13">
    <w:name w:val="Основной текст с отступом Знак1"/>
    <w:basedOn w:val="a0"/>
    <w:link w:val="af"/>
    <w:uiPriority w:val="99"/>
    <w:semiHidden/>
    <w:rsid w:val="00A3002D"/>
  </w:style>
  <w:style w:type="paragraph" w:styleId="30">
    <w:name w:val="Body Text Indent 3"/>
    <w:basedOn w:val="a"/>
    <w:link w:val="31"/>
    <w:uiPriority w:val="99"/>
    <w:semiHidden/>
    <w:rsid w:val="004B1D92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A3002D"/>
    <w:rPr>
      <w:sz w:val="16"/>
      <w:szCs w:val="16"/>
    </w:rPr>
  </w:style>
  <w:style w:type="paragraph" w:styleId="af0">
    <w:name w:val="No Spacing"/>
    <w:uiPriority w:val="99"/>
    <w:qFormat/>
    <w:rsid w:val="004B1D92"/>
    <w:pPr>
      <w:suppressAutoHyphens/>
    </w:pPr>
    <w:rPr>
      <w:sz w:val="22"/>
      <w:szCs w:val="22"/>
    </w:rPr>
  </w:style>
  <w:style w:type="paragraph" w:customStyle="1" w:styleId="xl46">
    <w:name w:val="xl46"/>
    <w:basedOn w:val="a"/>
    <w:uiPriority w:val="99"/>
    <w:rsid w:val="004B1D92"/>
    <w:pPr>
      <w:pBdr>
        <w:left w:val="single" w:sz="6" w:space="0" w:color="00000A"/>
        <w:bottom w:val="single" w:sz="6" w:space="0" w:color="00000A"/>
      </w:pBdr>
      <w:spacing w:before="100" w:after="100" w:line="240" w:lineRule="auto"/>
    </w:pPr>
    <w:rPr>
      <w:rFonts w:ascii="Bookman Old Style" w:hAnsi="Bookman Old Style"/>
      <w:b/>
      <w:sz w:val="24"/>
      <w:szCs w:val="20"/>
    </w:rPr>
  </w:style>
  <w:style w:type="paragraph" w:customStyle="1" w:styleId="310">
    <w:name w:val="Основной текст с отступом 31"/>
    <w:basedOn w:val="a"/>
    <w:uiPriority w:val="99"/>
    <w:rsid w:val="004B1D92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14">
    <w:name w:val="Название1"/>
    <w:uiPriority w:val="99"/>
    <w:rsid w:val="004B1D92"/>
    <w:pPr>
      <w:suppressAutoHyphens/>
      <w:jc w:val="center"/>
    </w:pPr>
    <w:rPr>
      <w:rFonts w:ascii="Arial" w:hAnsi="Arial"/>
      <w:sz w:val="24"/>
    </w:rPr>
  </w:style>
  <w:style w:type="paragraph" w:customStyle="1" w:styleId="15">
    <w:name w:val="Обычный1"/>
    <w:uiPriority w:val="99"/>
    <w:rsid w:val="004B1D92"/>
    <w:pPr>
      <w:widowControl w:val="0"/>
      <w:suppressAutoHyphens/>
    </w:pPr>
    <w:rPr>
      <w:rFonts w:ascii="Times New Roman" w:hAnsi="Times New Roman"/>
    </w:rPr>
  </w:style>
  <w:style w:type="paragraph" w:customStyle="1" w:styleId="311">
    <w:name w:val="Основной текст 31"/>
    <w:basedOn w:val="15"/>
    <w:uiPriority w:val="99"/>
    <w:rsid w:val="004B1D92"/>
    <w:pPr>
      <w:widowControl/>
    </w:pPr>
    <w:rPr>
      <w:rFonts w:ascii="Arial" w:hAnsi="Arial"/>
      <w:color w:val="FF0000"/>
      <w:sz w:val="28"/>
    </w:rPr>
  </w:style>
  <w:style w:type="paragraph" w:customStyle="1" w:styleId="21">
    <w:name w:val="Заголовок 21"/>
    <w:basedOn w:val="15"/>
    <w:uiPriority w:val="99"/>
    <w:rsid w:val="004B1D92"/>
    <w:pPr>
      <w:keepNext/>
      <w:widowControl/>
      <w:jc w:val="center"/>
      <w:outlineLvl w:val="1"/>
    </w:pPr>
    <w:rPr>
      <w:rFonts w:ascii="Arial" w:hAnsi="Arial"/>
      <w:sz w:val="24"/>
    </w:rPr>
  </w:style>
  <w:style w:type="paragraph" w:customStyle="1" w:styleId="af1">
    <w:name w:val="Содержимое таблицы"/>
    <w:basedOn w:val="a"/>
    <w:uiPriority w:val="99"/>
    <w:rsid w:val="004B1D92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">
    <w:name w:val="Название2"/>
    <w:rsid w:val="004B1D92"/>
    <w:pPr>
      <w:suppressAutoHyphens/>
      <w:jc w:val="center"/>
    </w:pPr>
    <w:rPr>
      <w:rFonts w:ascii="Arial" w:hAnsi="Arial" w:cs="Arial"/>
      <w:sz w:val="24"/>
      <w:lang w:eastAsia="zh-CN"/>
    </w:rPr>
  </w:style>
  <w:style w:type="paragraph" w:customStyle="1" w:styleId="LO-Normal">
    <w:name w:val="LO-Normal"/>
    <w:rsid w:val="004B1D92"/>
    <w:pPr>
      <w:widowControl w:val="0"/>
      <w:suppressAutoHyphens/>
    </w:pPr>
    <w:rPr>
      <w:rFonts w:ascii="Times New Roman" w:hAnsi="Times New Roman"/>
      <w:lang w:eastAsia="zh-CN"/>
    </w:rPr>
  </w:style>
  <w:style w:type="paragraph" w:customStyle="1" w:styleId="32">
    <w:name w:val="Основной текст 32"/>
    <w:basedOn w:val="LO-Normal"/>
    <w:rsid w:val="004B1D92"/>
    <w:pPr>
      <w:widowControl/>
    </w:pPr>
    <w:rPr>
      <w:rFonts w:ascii="Arial" w:hAnsi="Arial" w:cs="Arial"/>
      <w:color w:val="FF0000"/>
      <w:sz w:val="28"/>
    </w:rPr>
  </w:style>
  <w:style w:type="paragraph" w:customStyle="1" w:styleId="22">
    <w:name w:val="Заголовок 22"/>
    <w:basedOn w:val="LO-Normal"/>
    <w:next w:val="LO-Normal"/>
    <w:rsid w:val="004B1D92"/>
    <w:pPr>
      <w:keepNext/>
      <w:widowControl/>
      <w:jc w:val="center"/>
    </w:pPr>
    <w:rPr>
      <w:rFonts w:ascii="Arial" w:hAnsi="Arial" w:cs="Arial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42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</Pages>
  <Words>2637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777</cp:lastModifiedBy>
  <cp:revision>28</cp:revision>
  <cp:lastPrinted>2019-12-25T05:21:00Z</cp:lastPrinted>
  <dcterms:created xsi:type="dcterms:W3CDTF">2015-11-30T06:01:00Z</dcterms:created>
  <dcterms:modified xsi:type="dcterms:W3CDTF">2019-12-25T05:21:00Z</dcterms:modified>
</cp:coreProperties>
</file>